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仿宋_GB2312" w:eastAsia="方正小标宋简体" w:cs="仿宋_GB2312"/>
          <w:bCs/>
          <w:color w:val="000000" w:themeColor="text1"/>
          <w:sz w:val="44"/>
          <w:szCs w:val="44"/>
          <w14:textFill>
            <w14:solidFill>
              <w14:schemeClr w14:val="tx1"/>
            </w14:solidFill>
          </w14:textFill>
        </w:rPr>
      </w:pPr>
      <w:r>
        <w:rPr>
          <w:rFonts w:hint="eastAsia" w:ascii="方正小标宋简体" w:hAnsi="仿宋_GB2312" w:eastAsia="方正小标宋简体" w:cs="仿宋_GB2312"/>
          <w:bCs/>
          <w:color w:val="000000" w:themeColor="text1"/>
          <w:sz w:val="44"/>
          <w:szCs w:val="44"/>
          <w14:textFill>
            <w14:solidFill>
              <w14:schemeClr w14:val="tx1"/>
            </w14:solidFill>
          </w14:textFill>
        </w:rPr>
        <w:t>浙江瓯海铁路投资集团有限公司面向社会</w:t>
      </w:r>
    </w:p>
    <w:p>
      <w:pPr>
        <w:spacing w:line="576" w:lineRule="exact"/>
        <w:jc w:val="center"/>
        <w:rPr>
          <w:rFonts w:ascii="方正小标宋简体" w:hAnsi="仿宋_GB2312" w:eastAsia="方正小标宋简体" w:cs="仿宋_GB2312"/>
          <w:bCs/>
          <w:color w:val="000000" w:themeColor="text1"/>
          <w:sz w:val="44"/>
          <w:szCs w:val="44"/>
          <w14:textFill>
            <w14:solidFill>
              <w14:schemeClr w14:val="tx1"/>
            </w14:solidFill>
          </w14:textFill>
        </w:rPr>
      </w:pPr>
      <w:r>
        <w:rPr>
          <w:rFonts w:hint="eastAsia" w:ascii="方正小标宋简体" w:hAnsi="仿宋_GB2312" w:eastAsia="方正小标宋简体" w:cs="仿宋_GB2312"/>
          <w:bCs/>
          <w:color w:val="000000" w:themeColor="text1"/>
          <w:sz w:val="44"/>
          <w:szCs w:val="44"/>
          <w14:textFill>
            <w14:solidFill>
              <w14:schemeClr w14:val="tx1"/>
            </w14:solidFill>
          </w14:textFill>
        </w:rPr>
        <w:t>公开招聘工作人</w:t>
      </w:r>
      <w:r>
        <w:rPr>
          <w:rFonts w:hint="eastAsia" w:ascii="方正小标宋简体" w:hAnsi="仿宋_GB2312" w:eastAsia="方正小标宋简体" w:cs="仿宋_GB2312"/>
          <w:bCs/>
          <w:color w:val="000000" w:themeColor="text1"/>
          <w:sz w:val="44"/>
          <w:szCs w:val="44"/>
          <w:lang w:eastAsia="zh-CN"/>
          <w14:textFill>
            <w14:solidFill>
              <w14:schemeClr w14:val="tx1"/>
            </w14:solidFill>
          </w14:textFill>
        </w:rPr>
        <w:t>员</w:t>
      </w:r>
      <w:r>
        <w:rPr>
          <w:rFonts w:hint="eastAsia" w:ascii="方正小标宋简体" w:hAnsi="仿宋_GB2312" w:eastAsia="方正小标宋简体" w:cs="仿宋_GB2312"/>
          <w:bCs/>
          <w:color w:val="000000" w:themeColor="text1"/>
          <w:sz w:val="44"/>
          <w:szCs w:val="44"/>
          <w14:textFill>
            <w14:solidFill>
              <w14:schemeClr w14:val="tx1"/>
            </w14:solidFill>
          </w14:textFill>
        </w:rPr>
        <w:t>公告</w:t>
      </w:r>
    </w:p>
    <w:p>
      <w:pPr>
        <w:ind w:firstLine="120" w:firstLineChars="200"/>
        <w:rPr>
          <w:rFonts w:ascii="仿宋_GB2312" w:hAnsi="仿宋_GB2312" w:eastAsia="仿宋_GB2312" w:cs="仿宋_GB2312"/>
          <w:b/>
          <w:bCs/>
          <w:color w:val="000000" w:themeColor="text1"/>
          <w:sz w:val="6"/>
          <w:szCs w:val="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浙江瓯海铁路投资集团有限公司系瓯海区属国有企业，</w:t>
      </w:r>
      <w:r>
        <w:rPr>
          <w:rFonts w:hint="eastAsia" w:ascii="仿宋_GB2312" w:hAnsi="仿宋_GB2312" w:eastAsia="仿宋_GB2312" w:cs="仿宋_GB2312"/>
          <w:color w:val="000000" w:themeColor="text1"/>
          <w:sz w:val="32"/>
          <w:szCs w:val="32"/>
          <w14:textFill>
            <w14:solidFill>
              <w14:schemeClr w14:val="tx1"/>
            </w14:solidFill>
          </w14:textFill>
        </w:rPr>
        <w:t>作为区级重大项目主要投资主体，坚持以战略转型和管理提升为主线，集中优势发展城市基础设施项目及配套项目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投资与开发建设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业务涉及</w:t>
      </w:r>
      <w:r>
        <w:rPr>
          <w:rFonts w:hint="eastAsia" w:ascii="仿宋_GB2312" w:hAnsi="仿宋_GB2312" w:eastAsia="仿宋_GB2312" w:cs="仿宋_GB2312"/>
          <w:color w:val="000000" w:themeColor="text1"/>
          <w:sz w:val="32"/>
          <w:szCs w:val="32"/>
          <w14:textFill>
            <w14:solidFill>
              <w14:schemeClr w14:val="tx1"/>
            </w14:solidFill>
          </w14:textFill>
        </w:rPr>
        <w:t>资产经营、产业投资、综合服务等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多个</w:t>
      </w:r>
      <w:r>
        <w:rPr>
          <w:rFonts w:hint="eastAsia" w:ascii="仿宋_GB2312" w:hAnsi="仿宋_GB2312" w:eastAsia="仿宋_GB2312" w:cs="仿宋_GB2312"/>
          <w:color w:val="000000" w:themeColor="text1"/>
          <w:sz w:val="32"/>
          <w:szCs w:val="32"/>
          <w14:textFill>
            <w14:solidFill>
              <w14:schemeClr w14:val="tx1"/>
            </w14:solidFill>
          </w14:textFill>
        </w:rPr>
        <w:t>板块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w:t>
      </w:r>
      <w:r>
        <w:rPr>
          <w:rFonts w:hint="eastAsia" w:ascii="仿宋_GB2312" w:hAnsi="仿宋_GB2312" w:eastAsia="仿宋_GB2312" w:cs="仿宋_GB2312"/>
          <w:color w:val="000000" w:themeColor="text1"/>
          <w:sz w:val="32"/>
          <w:szCs w:val="32"/>
          <w14:textFill>
            <w14:solidFill>
              <w14:schemeClr w14:val="tx1"/>
            </w14:solidFill>
          </w14:textFill>
        </w:rPr>
        <w:t>因工作需要，决定面向社会公开招聘工作人员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名，现将有关事项公告如下：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一、招聘对象基本条件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（二）拥护中华人民共和国宪法；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（三）具有良好的品行，具有正常履行职责的身体条件；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（四）具有符合职位要求的工作能力；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（五）具有全日制本科及以上文化程度；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（六）拟任职位所要求的其他资格条件。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二、招聘岗位具体要求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详见附件1 《浙江瓯海铁路投资集团有限公司招聘计划表》。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三、报名</w:t>
      </w:r>
      <w:r>
        <w:rPr>
          <w:rFonts w:hint="eastAsia" w:ascii="黑体" w:hAnsi="黑体" w:eastAsia="黑体" w:cs="黑体"/>
          <w:bCs/>
          <w:color w:val="000000" w:themeColor="text1"/>
          <w:sz w:val="32"/>
          <w:szCs w:val="32"/>
          <w:lang w:val="en-US" w:eastAsia="zh-CN"/>
          <w14:textFill>
            <w14:solidFill>
              <w14:schemeClr w14:val="tx1"/>
            </w14:solidFill>
          </w14:textFill>
        </w:rPr>
        <w:t>方式</w:t>
      </w:r>
      <w:r>
        <w:rPr>
          <w:rFonts w:hint="eastAsia" w:ascii="黑体" w:hAnsi="黑体" w:eastAsia="黑体" w:cs="黑体"/>
          <w:bCs/>
          <w:color w:val="000000" w:themeColor="text1"/>
          <w:sz w:val="32"/>
          <w:szCs w:val="32"/>
          <w14:textFill>
            <w14:solidFill>
              <w14:schemeClr w14:val="tx1"/>
            </w14:solidFill>
          </w14:textFill>
        </w:rPr>
        <w:t>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2025年8月26日至2025年9月3日下午5:30，逾期不再受理。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招聘</w:t>
      </w:r>
      <w:r>
        <w:rPr>
          <w:rFonts w:hint="eastAsia" w:ascii="仿宋_GB2312" w:hAnsi="仿宋_GB2312" w:eastAsia="仿宋_GB2312" w:cs="仿宋_GB2312"/>
          <w:color w:val="000000" w:themeColor="text1"/>
          <w:sz w:val="32"/>
          <w:szCs w:val="32"/>
          <w14:textFill>
            <w14:solidFill>
              <w14:schemeClr w14:val="tx1"/>
            </w14:solidFill>
          </w14:textFill>
        </w:rPr>
        <w:t>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14:textFill>
            <w14:solidFill>
              <w14:schemeClr w14:val="tx1"/>
            </w14:solidFill>
          </w14:textFill>
        </w:rPr>
        <w:t>网络报名的方式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1.报考人</w:t>
      </w:r>
      <w:r>
        <w:rPr>
          <w:rFonts w:hint="eastAsia" w:ascii="仿宋_GB2312" w:hAnsi="仿宋_GB2312" w:eastAsia="仿宋_GB2312" w:cs="仿宋_GB2312"/>
          <w:color w:val="000000" w:themeColor="text1"/>
          <w:sz w:val="32"/>
          <w:szCs w:val="32"/>
          <w14:textFill>
            <w14:solidFill>
              <w14:schemeClr w14:val="tx1"/>
            </w14:solidFill>
          </w14:textFill>
        </w:rPr>
        <w:t>在规定报名时间内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向报名邮箱：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Ohtt2801@163.com</w:t>
      </w:r>
      <w:r>
        <w:rPr>
          <w:rFonts w:hint="eastAsia" w:ascii="仿宋_GB2312" w:hAnsi="仿宋_GB2312" w:eastAsia="仿宋_GB2312" w:cs="仿宋_GB2312"/>
          <w:color w:val="000000" w:themeColor="text1"/>
          <w:sz w:val="32"/>
          <w:szCs w:val="32"/>
          <w14:textFill>
            <w14:solidFill>
              <w14:schemeClr w14:val="tx1"/>
            </w14:solidFill>
          </w14:textFill>
        </w:rPr>
        <w:t>提交报名材料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邮件标题统一格式为：“报考岗位-姓名-联系电话”；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2.报名材料格式要求：文档资料为.doc格式；图片资料为彩色扫描.jpg格式，确保资料内容清晰，要素完整。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（三）报名时须提交的材料及要求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1.报考人员应提供以下材料：</w:t>
      </w: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报名表（附件2）；</w:t>
      </w: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本人身份证、户口本（</w:t>
      </w:r>
      <w:r>
        <w:rPr>
          <w:rFonts w:hint="eastAsia" w:ascii="仿宋_GB2312" w:hAnsi="仿宋_GB2312" w:eastAsia="仿宋_GB2312" w:cs="仿宋_GB2312"/>
          <w:sz w:val="32"/>
          <w:szCs w:val="32"/>
        </w:rPr>
        <w:t>户主页、本人页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学历证书、学位证书、学信网学历证书电子注册备案表；④执（职）业资格证书；⑤专业技术资格证书；⑥工作经历证明（附件3）；⑦社保基本养老历年参保证明（应届毕业生无需提供）；⑧电子版照片（近期蓝底彩色免冠）⑨涉及报考岗位所需的其他材料（证明）。⑩如为留学人员，需提供教育部中国留学服务中心出具的境外学历、学位认证书。</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经历的证明单位和社保缴纳单位信息必须一致。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1.报名结束后，</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color w:val="000000" w:themeColor="text1"/>
          <w:sz w:val="32"/>
          <w:szCs w:val="32"/>
          <w14:textFill>
            <w14:solidFill>
              <w14:schemeClr w14:val="tx1"/>
            </w14:solidFill>
          </w14:textFill>
        </w:rPr>
        <w:t>办公室（人力资源部）负责资格初审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学历专业资格审查以202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年浙江省公务员录用考试专业参考目录</w:t>
      </w:r>
      <w:r>
        <w:rPr>
          <w:rFonts w:hint="eastAsia" w:ascii="仿宋_GB2312" w:hAnsi="仿宋_GB2312" w:eastAsia="仿宋_GB2312" w:cs="仿宋_GB2312"/>
          <w:b/>
          <w:bCs/>
          <w:color w:val="auto"/>
          <w:sz w:val="32"/>
          <w:szCs w:val="32"/>
          <w:lang w:val="en-US" w:eastAsia="zh-CN"/>
        </w:rPr>
        <w:t>为准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报名资格条件中</w:t>
      </w:r>
      <w:r>
        <w:rPr>
          <w:rFonts w:hint="eastAsia" w:ascii="仿宋_GB2312" w:hAnsi="仿宋_GB2312" w:eastAsia="仿宋_GB2312" w:cs="仿宋_GB2312"/>
          <w:color w:val="000000" w:themeColor="text1"/>
          <w:sz w:val="32"/>
          <w:szCs w:val="32"/>
          <w:lang w:eastAsia="zh-CN"/>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工作经验年限时间，计算时间统一截止至</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，在校就读期间参加社会实践、实习、兼职等不视为工作经历。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资格初审后，确定为符合要求参加考试的报考人员，将以邮件的形式发送准考证，由报考人员自行打印，考试具体时间、地点及要求以准考证上告知的信息为准。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如通过资格初审人数与招聘岗位比例达不到3︰1的</w:t>
      </w:r>
      <w:r>
        <w:rPr>
          <w:rFonts w:hint="eastAsia" w:ascii="仿宋_GB2312" w:hAnsi="仿宋_GB2312" w:eastAsia="仿宋_GB2312" w:cs="仿宋_GB2312"/>
          <w:b/>
          <w:bCs/>
          <w:color w:val="auto"/>
          <w:sz w:val="32"/>
          <w:szCs w:val="32"/>
          <w:lang w:val="en-US" w:eastAsia="zh-CN"/>
        </w:rPr>
        <w:t>比例</w:t>
      </w:r>
      <w:r>
        <w:rPr>
          <w:rFonts w:hint="eastAsia" w:ascii="仿宋_GB2312" w:hAnsi="仿宋_GB2312" w:eastAsia="仿宋_GB2312" w:cs="仿宋_GB2312"/>
          <w:b/>
          <w:bCs/>
          <w:color w:val="auto"/>
          <w:sz w:val="32"/>
          <w:szCs w:val="32"/>
        </w:rPr>
        <w:t>，将</w:t>
      </w:r>
      <w:r>
        <w:rPr>
          <w:rFonts w:hint="eastAsia" w:ascii="仿宋_GB2312" w:hAnsi="仿宋_GB2312" w:eastAsia="仿宋_GB2312" w:cs="仿宋_GB2312"/>
          <w:b/>
          <w:bCs/>
          <w:color w:val="auto"/>
          <w:sz w:val="32"/>
          <w:szCs w:val="32"/>
          <w:lang w:val="en-US" w:eastAsia="zh-CN"/>
        </w:rPr>
        <w:t>直接核减相应招聘岗位数量或</w:t>
      </w:r>
      <w:r>
        <w:rPr>
          <w:rFonts w:hint="eastAsia" w:ascii="仿宋_GB2312" w:hAnsi="仿宋_GB2312" w:eastAsia="仿宋_GB2312" w:cs="仿宋_GB2312"/>
          <w:b/>
          <w:bCs/>
          <w:color w:val="auto"/>
          <w:sz w:val="32"/>
          <w:szCs w:val="32"/>
        </w:rPr>
        <w:t>取消开考。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1.每个报考人员只能报考1个岗位，通过资格审核后不得更改，并以通过资格审核的岗位参加考试，请报考人员慎重选择岗位后再报名。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2.报考人员提供的材料应按规定顺序命名整理（附件4），材料扫描件及文档资料打包后发送到报名邮箱，原件（按要求盖章或签字）和复印件于面试前交工作人员复核。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3.咨询电话：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0577-55592377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，工作时间：上午9:00-11:30，下午14:00-17:30，联系人：朱女士。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四、考试（考试采取笔试和面试相结合的方式）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1.笔试主要测评报考人员的岗位专业知识，笔试成绩满分为100分，低于60分为不合格。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2.考生须携带笔试准考证和本人有效身份证件，按照笔试准考证规定的时间和地点参加考试。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1.根据报考人员笔试成绩，从高分到低分按3︰1的比例确定面试人员，如遇最后一名同分的，则一并列为面试对象；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2.面试主要测评报考人员的专业水平和综合素质；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3.面试成绩满分为100分，合格分为60分，面试不合格者，不能列入体检对象。不按规定时间、地点和要求参加面试的，作自动放弃处理。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（一）资格复审仅对面试对象进行，安排在面试当天进行。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（二）资格复审时，报考人员须持本人身份证、户口簿、毕业证书等岗位所需材料的原件进行核对。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（三）报考人员所提供的证件不全或所提供的证件与报考资格条件不相符者，或未按时参加资格复审的，取消其面试资格。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color w:val="000000" w:themeColor="text1"/>
          <w:sz w:val="32"/>
          <w:szCs w:val="32"/>
          <w:lang w:val="en-US"/>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六、体检</w:t>
      </w:r>
      <w:r>
        <w:rPr>
          <w:rFonts w:hint="eastAsia" w:ascii="黑体" w:hAnsi="黑体" w:eastAsia="黑体" w:cs="黑体"/>
          <w:bCs/>
          <w:color w:val="000000" w:themeColor="text1"/>
          <w:sz w:val="32"/>
          <w:szCs w:val="32"/>
          <w:lang w:val="en-US" w:eastAsia="zh-CN"/>
          <w14:textFill>
            <w14:solidFill>
              <w14:schemeClr w14:val="tx1"/>
            </w14:solidFill>
          </w14:textFill>
        </w:rPr>
        <w:t>与考察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考试总成绩按笔试成绩占40%、面试成绩占60%计算（满分100分，精确到小数点后两位，尾数四舍五入），根据考试总成绩，按招聘岗位1:1的比例从高分到低分的顺序确定参加体检、考察人员。如遇总成绩同分的，以面试成绩高者优先，如面试成绩亦相同，则需加试（加试方式另行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（二）体检对象必须按规定的时间、地点和要求，携带本人有效身份证件参加体检。不按规定时间、地点和要求参加体检的，作自动放弃处理。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（三）考察内容主要针对政治思想、道德品质、能力素质、学习及工作表现、遵纪守法、廉洁自律等方面。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bookmarkStart w:id="0" w:name="OLE_LINK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体检、考察参照浙江省公务员录用有关标准执行。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七、公示</w:t>
      </w:r>
      <w:r>
        <w:rPr>
          <w:rFonts w:hint="eastAsia" w:ascii="黑体" w:hAnsi="黑体" w:eastAsia="黑体" w:cs="黑体"/>
          <w:bCs/>
          <w:color w:val="000000" w:themeColor="text1"/>
          <w:sz w:val="32"/>
          <w:szCs w:val="32"/>
          <w:lang w:val="en-US" w:eastAsia="zh-CN"/>
          <w14:textFill>
            <w14:solidFill>
              <w14:schemeClr w14:val="tx1"/>
            </w14:solidFill>
          </w14:textFill>
        </w:rPr>
        <w:t>与</w:t>
      </w:r>
      <w:r>
        <w:rPr>
          <w:rFonts w:hint="eastAsia" w:ascii="黑体" w:hAnsi="黑体" w:eastAsia="黑体" w:cs="黑体"/>
          <w:bCs/>
          <w:color w:val="000000" w:themeColor="text1"/>
          <w:sz w:val="32"/>
          <w:szCs w:val="32"/>
          <w14:textFill>
            <w14:solidFill>
              <w14:schemeClr w14:val="tx1"/>
            </w14:solidFill>
          </w14:textFill>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（一）体检、考察合格人员，确定为拟聘用对象，予以公示7天。公示期满无异议的，按规定程序办理聘用手续，聘用人员试用期6个月，试用期间按规定享受相应待遇。试用期满考核合格，予以正式聘用。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（二）薪酬待遇按照集团薪酬管理有关规定执行。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八、人才储备库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将建立人才储备库，在本次招聘落选人员中从高分到低分，按与招聘计划数1︰1的比例储备，建立后备人才库，有效期一年（自招聘录用公示结束之日起算），人才储备对象的总成绩不低于60分。当有同类专业（岗位）需求时，经集团党委研究、报批后，可以从人才储备库中按高分到低分的顺序选取报考人员，直接经体检、考察、公示程序后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九</w:t>
      </w:r>
      <w:r>
        <w:rPr>
          <w:rFonts w:hint="eastAsia"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bCs/>
          <w:color w:val="000000" w:themeColor="text1"/>
          <w:sz w:val="32"/>
          <w:szCs w:val="32"/>
          <w:lang w:eastAsia="zh-CN"/>
          <w14:textFill>
            <w14:solidFill>
              <w14:schemeClr w14:val="tx1"/>
            </w14:solidFill>
          </w14:textFill>
        </w:rPr>
        <w:t>其他</w:t>
      </w:r>
      <w:r>
        <w:rPr>
          <w:rFonts w:hint="eastAsia" w:ascii="黑体" w:hAnsi="黑体" w:eastAsia="黑体" w:cs="黑体"/>
          <w:bCs/>
          <w:color w:val="000000" w:themeColor="text1"/>
          <w:sz w:val="32"/>
          <w:szCs w:val="32"/>
          <w14:textFill>
            <w14:solidFill>
              <w14:schemeClr w14:val="tx1"/>
            </w14:solidFill>
          </w14:textFill>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（一）有关笔试、面试、体检时间及招聘其他事项的通知届时还将通过电话、短信等方式通知确认，请报考人员务必准确填写联系电话并保持通讯畅通。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（二）报考人员提交的报考信息和材料应当真实、准确、有效。凡提供虚假信息和材料获取报考及聘用资格的，或有意隐瞒本人真实情况的，一经查实，即取消报考或聘用资格。</w:t>
      </w:r>
    </w:p>
    <w:p>
      <w:pPr>
        <w:pStyle w:val="3"/>
        <w:ind w:firstLine="640" w:firstLineChars="200"/>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在招聘过程中，如发现不符合要求，或因报考人员自身原因主动放弃或在规定时间内未按时到岗等出现空缺的，由集团视岗位类型和具体情况确定是否进行递补，确需递补的，则在该岗位报考人员中按最终成绩从高分到低分进行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本公告及未尽事宜由浙江瓯海铁路投资集团有限公司负责解释。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浙江瓯海铁路投资集团有限公司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2025年8月26日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pPr>
    </w:p>
    <w:p>
      <w:pPr>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jc w:val="center"/>
        <w:rPr>
          <w:rFonts w:ascii="方正小标宋简体" w:hAnsi="方正小标宋简体" w:eastAsia="方正小标宋简体" w:cs="方正小标宋简体"/>
          <w:bCs/>
          <w:color w:val="000000" w:themeColor="text1"/>
          <w:sz w:val="44"/>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浙江瓯海铁路投资集团有限公司公开招聘</w:t>
      </w:r>
      <w:r>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t>工作人员</w:t>
      </w: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计划表</w:t>
      </w:r>
    </w:p>
    <w:tbl>
      <w:tblPr>
        <w:tblStyle w:val="7"/>
        <w:tblW w:w="15405"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930"/>
        <w:gridCol w:w="720"/>
        <w:gridCol w:w="1305"/>
        <w:gridCol w:w="1110"/>
        <w:gridCol w:w="1350"/>
        <w:gridCol w:w="1155"/>
        <w:gridCol w:w="750"/>
        <w:gridCol w:w="53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1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所属</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公司</w:t>
            </w:r>
          </w:p>
        </w:tc>
        <w:tc>
          <w:tcPr>
            <w:tcW w:w="93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岗位</w:t>
            </w:r>
          </w:p>
        </w:tc>
        <w:tc>
          <w:tcPr>
            <w:tcW w:w="72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人数</w:t>
            </w:r>
          </w:p>
        </w:tc>
        <w:tc>
          <w:tcPr>
            <w:tcW w:w="11010" w:type="dxa"/>
            <w:gridSpan w:val="6"/>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资格条件</w:t>
            </w:r>
          </w:p>
        </w:tc>
        <w:tc>
          <w:tcPr>
            <w:tcW w:w="1035"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93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72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1305"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年龄</w:t>
            </w:r>
          </w:p>
        </w:tc>
        <w:tc>
          <w:tcPr>
            <w:tcW w:w="111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学历</w:t>
            </w:r>
          </w:p>
        </w:tc>
        <w:tc>
          <w:tcPr>
            <w:tcW w:w="135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w:t>
            </w:r>
          </w:p>
        </w:tc>
        <w:tc>
          <w:tcPr>
            <w:tcW w:w="1155"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户籍</w:t>
            </w:r>
          </w:p>
        </w:tc>
        <w:tc>
          <w:tcPr>
            <w:tcW w:w="750"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性别</w:t>
            </w:r>
          </w:p>
        </w:tc>
        <w:tc>
          <w:tcPr>
            <w:tcW w:w="534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其他条件</w:t>
            </w:r>
          </w:p>
        </w:tc>
        <w:tc>
          <w:tcPr>
            <w:tcW w:w="1035" w:type="dxa"/>
            <w:vMerge w:val="continue"/>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bookmarkStart w:id="1" w:name="OLE_LINK2"/>
            <w:r>
              <w:rPr>
                <w:rFonts w:hint="eastAsia" w:ascii="仿宋_GB2312" w:hAnsi="仿宋_GB2312" w:eastAsia="仿宋_GB2312" w:cs="仿宋_GB2312"/>
                <w:sz w:val="24"/>
                <w:szCs w:val="24"/>
                <w:lang w:val="en-US" w:eastAsia="zh-CN"/>
              </w:rPr>
              <w:t>工程管理</w:t>
            </w:r>
            <w:bookmarkEnd w:id="1"/>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bookmarkStart w:id="2" w:name="OLE_LINK1"/>
            <w:r>
              <w:rPr>
                <w:rFonts w:hint="eastAsia" w:ascii="仿宋_GB2312" w:hAnsi="仿宋_GB2312" w:eastAsia="仿宋_GB2312" w:cs="仿宋_GB2312"/>
                <w:sz w:val="24"/>
                <w:szCs w:val="24"/>
                <w:lang w:val="en-US" w:eastAsia="zh-CN"/>
              </w:rPr>
              <w:t>1985年7月1日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（含）以后出生</w:t>
            </w:r>
            <w:bookmarkEnd w:id="2"/>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土木工程类、建筑学类、建筑类、土木类（详见附件2）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必须具备符合岗位专业要求的中高级职称人才；</w:t>
            </w:r>
          </w:p>
          <w:p>
            <w:pPr>
              <w:pStyle w:val="3"/>
              <w:numPr>
                <w:ilvl w:val="0"/>
                <w:numId w:val="1"/>
              </w:numPr>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工程师专业范围：土木建筑、土建结构、土木工程、岩石工程、岩土、土岩方、工民建、工民建安装、建筑、建筑管理、建筑工程、建筑工程管理、建筑施工；</w:t>
            </w:r>
          </w:p>
          <w:p>
            <w:pPr>
              <w:pStyle w:val="3"/>
              <w:numPr>
                <w:ilvl w:val="0"/>
                <w:numId w:val="0"/>
              </w:numPr>
              <w:ind w:leftChars="0"/>
              <w:rPr>
                <w:rFonts w:hint="default"/>
                <w:sz w:val="20"/>
                <w:szCs w:val="22"/>
                <w:lang w:val="en-US" w:eastAsia="zh-CN"/>
              </w:rPr>
            </w:pPr>
            <w:r>
              <w:rPr>
                <w:rFonts w:hint="eastAsia" w:ascii="仿宋_GB2312" w:hAnsi="仿宋_GB2312" w:eastAsia="仿宋_GB2312" w:cs="仿宋_GB2312"/>
                <w:sz w:val="24"/>
                <w:szCs w:val="24"/>
                <w:lang w:val="en-US" w:eastAsia="zh-CN"/>
              </w:rPr>
              <w:t>3.要求在相关岗位有3年以上的工作经验。</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主要从事工程项目管理相关工作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1990年7月1日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（含）以后出生</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财务相关专业（详见附件2）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具有良好的职业道德和保密意识、有较强的责任心和敬业精神；</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具备财务管理专业知识，遵守财经纪律；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3.具有助理级或以上会计师资格证。</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color w:val="000000" w:themeColor="text1"/>
                <w:sz w:val="24"/>
                <w:lang w:eastAsia="zh-CN"/>
                <w14:textFill>
                  <w14:solidFill>
                    <w14:schemeClr w14:val="tx1"/>
                  </w14:solidFill>
                </w14:textFill>
              </w:rPr>
            </w:pPr>
            <w:r>
              <w:rPr>
                <w:rFonts w:hint="eastAsia" w:ascii="仿宋_GB2312" w:hAnsi="仿宋_GB2312" w:eastAsia="仿宋_GB2312" w:cs="仿宋_GB2312"/>
                <w:b/>
                <w:bCs/>
                <w:color w:val="000000" w:themeColor="text1"/>
                <w:sz w:val="24"/>
                <w:lang w:eastAsia="zh-CN"/>
                <w14:textFill>
                  <w14:solidFill>
                    <w14:schemeClr w14:val="tx1"/>
                  </w14:solidFill>
                </w14:textFill>
              </w:rPr>
              <w:t>主要从事出纳相关工作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1990年7月1日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（含）以后出生</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金融相关专业（详见附件2）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具有良好的职业道德和保密意识、有较强的责任心和敬业精神；</w:t>
            </w:r>
          </w:p>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具备金融专业知识；</w:t>
            </w:r>
          </w:p>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要求在相关岗位有2年以上的工作经验。</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lang w:eastAsia="zh-CN"/>
                <w14:textFill>
                  <w14:solidFill>
                    <w14:schemeClr w14:val="tx1"/>
                  </w14:solidFill>
                </w14:textFill>
              </w:rPr>
            </w:pPr>
          </w:p>
        </w:tc>
      </w:tr>
    </w:tbl>
    <w:p>
      <w:pPr>
        <w:jc w:val="left"/>
        <w:rPr>
          <w:sz w:val="32"/>
          <w:szCs w:val="32"/>
        </w:rPr>
        <w:sectPr>
          <w:headerReference r:id="rId5" w:type="default"/>
          <w:footerReference r:id="rId6" w:type="default"/>
          <w:pgSz w:w="16838" w:h="11906" w:orient="landscape"/>
          <w:pgMar w:top="1417" w:right="1134" w:bottom="1417" w:left="1134" w:header="851" w:footer="992" w:gutter="0"/>
          <w:pgNumType w:fmt="numberInDash"/>
          <w:cols w:space="0" w:num="1"/>
          <w:rtlGutter w:val="0"/>
          <w:docGrid w:type="lines" w:linePitch="312" w:charSpace="0"/>
        </w:sectPr>
      </w:pPr>
    </w:p>
    <w:p>
      <w:pPr>
        <w:ind w:left="-850" w:leftChars="-405" w:firstLine="800" w:firstLineChars="25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r>
        <w:rPr>
          <w:rFonts w:hint="eastAsia" w:ascii="黑体" w:hAnsi="黑体" w:eastAsia="黑体" w:cs="黑体"/>
          <w:color w:val="000000" w:themeColor="text1"/>
          <w:sz w:val="32"/>
          <w:szCs w:val="32"/>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浙江瓯海铁路投资集团有限公司公开招录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工作人员学历专业资格审查对照范围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eastAsia" w:eastAsia="黑体" w:cs="Times New Roman"/>
          <w:color w:val="000000" w:themeColor="text1"/>
          <w:spacing w:val="-4"/>
          <w:sz w:val="32"/>
          <w:szCs w:val="32"/>
          <w:lang w:val="en-US" w:eastAsia="zh-CN"/>
          <w14:textFill>
            <w14:solidFill>
              <w14:schemeClr w14:val="tx1"/>
            </w14:solidFill>
          </w14:textFill>
        </w:rPr>
        <w:t>工程管理岗位</w:t>
      </w: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－土木工程类：</w:t>
      </w:r>
      <w:r>
        <w:rPr>
          <w:rFonts w:hint="eastAsia" w:eastAsia="仿宋_GB2312" w:cs="Times New Roman"/>
          <w:color w:val="000000" w:themeColor="text1"/>
          <w:spacing w:val="-4"/>
          <w:sz w:val="32"/>
          <w:szCs w:val="32"/>
          <w:lang w:eastAsia="zh-CN"/>
          <w14:textFill>
            <w14:solidFill>
              <w14:schemeClr w14:val="tx1"/>
            </w14:solidFill>
          </w14:textFill>
        </w:rPr>
        <w:t>安全科学与减灾，爆破理论与技术，城市地下空间工程，道路交通工程与灾害防治，防灾减灾工程及防护工程，工程管理，供热、供燃气、通风及空调工程，寒区工程与环境，建设工程管理，建筑与土木工程，建筑与城乡规划设计，交通安全与灾害防治工程，节能工程与楼宇智能化，结构工程，绿色建筑环境技术，桥梁与隧道工程，市政工程，输电工程，土木测绘与信息技术，土木工程，土木水利，土木工程材料，土木工程规划与管理，土木工程建造与管理，消防工程，岩土工程，智慧城市建造与管理，人工环境工程；</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pacing w:val="-4"/>
          <w:sz w:val="32"/>
          <w:szCs w:val="32"/>
          <w:lang w:val="en-US" w:eastAsia="zh-CN"/>
          <w14:textFill>
            <w14:solidFill>
              <w14:schemeClr w14:val="tx1"/>
            </w14:solidFill>
          </w14:textFill>
        </w:rPr>
        <w:t>建筑学类</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城市设计及其理论，城市规划与设计，风景园林规划与设计，城市与区域规划，城市规划，建筑技术科学，建筑历史与理论，建筑设计及其理论，建筑学，建筑遗产保护，数字化设计与仿真，建筑。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b/>
          <w:bCs/>
          <w:color w:val="000000" w:themeColor="text1"/>
          <w:spacing w:val="-4"/>
          <w:sz w:val="32"/>
          <w:szCs w:val="32"/>
          <w:lang w:val="en-US" w:eastAsia="zh-CN"/>
          <w14:textFill>
            <w14:solidFill>
              <w14:schemeClr w14:val="tx1"/>
            </w14:solidFill>
          </w14:textFill>
        </w:rPr>
        <w:t>建筑类</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建筑学，建筑设计，建筑装饰工程，古建筑工程，城乡规划，城市规划，风景园林，园林景观工程，景观学，景观设计，景观建筑设计，历史建筑保护工程，人居环境科学与技术，城市设计，城市设计数字技术，智慧建筑与建造；</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b/>
          <w:bCs/>
          <w:color w:val="000000" w:themeColor="text1"/>
          <w:spacing w:val="-4"/>
          <w:sz w:val="32"/>
          <w:szCs w:val="32"/>
          <w:lang w:val="en-US" w:eastAsia="zh-CN"/>
          <w14:textFill>
            <w14:solidFill>
              <w14:schemeClr w14:val="tx1"/>
            </w14:solidFill>
          </w14:textFill>
        </w:rPr>
        <w:t>土木类</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土木工程，工民建，工业与民用建筑，建筑工程，建筑环境与设备工程，建筑环境与能源应用工程，建筑环境与能源工程，建筑设施智能技术，建筑智能检测与修复，工程结构分析，给排水科学与工程，建筑电气与智能化，建筑电气与智能化工程，电力工程与管理，电力工程及自动化，城市地下空间工程，城市地下工程，道路桥梁与渡河工程，道路与桥梁工程，交通土建工程，铁道工程，智能建造，智能建造工程，土木、水利与海洋工程，土木、水利与交通工程，给水排水，给排水工程，给水排水工程，市政工程，城市设施智慧管理，城市水系统工程，智能建造与智慧交通，工程软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财务岗位相关专业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－工商管理类</w:t>
      </w:r>
      <w:r>
        <w:rPr>
          <w:rFonts w:hint="eastAsia" w:eastAsia="仿宋_GB2312" w:cs="Times New Roman"/>
          <w:color w:val="000000" w:themeColor="text1"/>
          <w:spacing w:val="-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财务管理、财务学、会计、会计学</w:t>
      </w:r>
      <w:r>
        <w:rPr>
          <w:rFonts w:hint="eastAsia" w:eastAsia="仿宋_GB2312"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－工商管理类：</w:t>
      </w:r>
      <w:r>
        <w:rPr>
          <w:rFonts w:hint="eastAsia" w:eastAsia="仿宋_GB2312" w:cs="Times New Roman"/>
          <w:color w:val="000000" w:themeColor="text1"/>
          <w:spacing w:val="-4"/>
          <w:sz w:val="32"/>
          <w:szCs w:val="32"/>
          <w:lang w:eastAsia="zh-CN"/>
          <w14:textFill>
            <w14:solidFill>
              <w14:schemeClr w14:val="tx1"/>
            </w14:solidFill>
          </w14:textFill>
        </w:rPr>
        <w:t>会计学、</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财务会计与审计、</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国际会计、</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会计、</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大数据与会计、</w:t>
      </w:r>
      <w:r>
        <w:rPr>
          <w:rFonts w:hint="eastAsia" w:eastAsia="仿宋_GB2312" w:cs="Times New Roman"/>
          <w:color w:val="000000" w:themeColor="text1"/>
          <w:spacing w:val="-4"/>
          <w:sz w:val="32"/>
          <w:szCs w:val="32"/>
          <w:lang w:eastAsia="zh-CN"/>
          <w14:textFill>
            <w14:solidFill>
              <w14:schemeClr w14:val="tx1"/>
            </w14:solidFill>
          </w14:textFill>
        </w:rPr>
        <w:t>财务管理、大数据与财务管理；</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－经济学类：</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财税、财税大数据应用。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财务岗位相关专业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－应用经济学类：</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金融、金融学、金融工程、国际金融学、金融贸易电子商务；</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工商管理类：公司金融。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－金融学类：</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金融、金融学、金融工程、金融管理、经济与金融</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注：专业匹配参照《202</w:t>
      </w:r>
      <w:r>
        <w:rPr>
          <w:rFonts w:hint="eastAsia" w:eastAsia="仿宋_GB2312" w:cs="Times New Roman"/>
          <w:color w:val="000000" w:themeColor="text1"/>
          <w:spacing w:val="-4"/>
          <w:sz w:val="32"/>
          <w:szCs w:val="32"/>
          <w:lang w:val="en-US" w:eastAsia="zh-CN"/>
          <w14:textFill>
            <w14:solidFill>
              <w14:schemeClr w14:val="tx1"/>
            </w14:solidFill>
          </w14:textFill>
        </w:rPr>
        <w:t>5</w:t>
      </w:r>
      <w:r>
        <w:rPr>
          <w:rFonts w:hint="eastAsia" w:eastAsia="仿宋_GB2312" w:cs="Times New Roman"/>
          <w:color w:val="000000" w:themeColor="text1"/>
          <w:spacing w:val="-4"/>
          <w:sz w:val="32"/>
          <w:szCs w:val="32"/>
          <w:lang w:eastAsia="zh-CN"/>
          <w14:textFill>
            <w14:solidFill>
              <w14:schemeClr w14:val="tx1"/>
            </w14:solidFill>
          </w14:textFill>
        </w:rPr>
        <w:t>年浙江省公务员录用考试专业参考目录》对应的学科门类专业进行审查。目录中未列入的专业或各高校新设专业，与职位要求的专业相近似的，由应聘人员提供相应的学习课程等证明资料，本着“相近、相似”和“宜宽不宜窄，有利于人才选拔”的原则进行专业条件审核，可根据实际情况由浙江瓯海铁路投资集团有限公司研究决定。</w:t>
      </w:r>
    </w:p>
    <w:p>
      <w:pPr>
        <w:jc w:val="left"/>
        <w:rPr>
          <w:sz w:val="32"/>
          <w:szCs w:val="32"/>
        </w:rPr>
        <w:sectPr>
          <w:pgSz w:w="11906" w:h="16838"/>
          <w:pgMar w:top="1134" w:right="1417" w:bottom="1134" w:left="1417" w:header="851" w:footer="992" w:gutter="0"/>
          <w:pgNumType w:fmt="numberInDash"/>
          <w:cols w:space="0" w:num="1"/>
          <w:rtlGutter w:val="0"/>
          <w:docGrid w:type="lines" w:linePitch="312" w:charSpace="0"/>
        </w:sect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20" w:lineRule="exact"/>
        <w:ind w:left="-850" w:leftChars="-405" w:right="-907" w:rightChars="-432"/>
        <w:jc w:val="center"/>
        <w:textAlignment w:val="auto"/>
        <w:rPr>
          <w:rFonts w:hint="eastAsia" w:ascii="方正小标宋简体" w:eastAsia="方正小标宋简体"/>
          <w:bCs/>
          <w:color w:val="000000" w:themeColor="text1"/>
          <w:spacing w:val="20"/>
          <w:sz w:val="44"/>
          <w:szCs w:val="44"/>
          <w14:textFill>
            <w14:solidFill>
              <w14:schemeClr w14:val="tx1"/>
            </w14:solidFill>
          </w14:textFill>
        </w:rPr>
      </w:pPr>
      <w:r>
        <w:rPr>
          <w:rFonts w:hint="eastAsia" w:ascii="方正小标宋简体" w:eastAsia="方正小标宋简体"/>
          <w:bCs/>
          <w:color w:val="000000" w:themeColor="text1"/>
          <w:spacing w:val="20"/>
          <w:sz w:val="44"/>
          <w:szCs w:val="44"/>
          <w14:textFill>
            <w14:solidFill>
              <w14:schemeClr w14:val="tx1"/>
            </w14:solidFill>
          </w14:textFill>
        </w:rPr>
        <w:t>浙江瓯海铁路投资集团有限公司</w:t>
      </w:r>
    </w:p>
    <w:p>
      <w:pPr>
        <w:keepNext w:val="0"/>
        <w:keepLines w:val="0"/>
        <w:pageBreakBefore w:val="0"/>
        <w:widowControl w:val="0"/>
        <w:kinsoku/>
        <w:wordWrap/>
        <w:overflowPunct/>
        <w:topLinePunct w:val="0"/>
        <w:autoSpaceDE/>
        <w:autoSpaceDN/>
        <w:bidi w:val="0"/>
        <w:adjustRightInd/>
        <w:snapToGrid/>
        <w:spacing w:line="520" w:lineRule="exact"/>
        <w:ind w:left="-850" w:leftChars="-405" w:right="-907" w:rightChars="-432"/>
        <w:jc w:val="center"/>
        <w:textAlignment w:val="auto"/>
        <w:rPr>
          <w:rFonts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pacing w:val="20"/>
          <w:sz w:val="44"/>
          <w:szCs w:val="44"/>
          <w14:textFill>
            <w14:solidFill>
              <w14:schemeClr w14:val="tx1"/>
            </w14:solidFill>
          </w14:textFill>
        </w:rPr>
        <w:t>公开招录工作人员</w:t>
      </w:r>
      <w:r>
        <w:rPr>
          <w:rFonts w:hint="eastAsia" w:ascii="方正小标宋简体" w:eastAsia="方正小标宋简体"/>
          <w:bCs/>
          <w:color w:val="000000" w:themeColor="text1"/>
          <w:sz w:val="44"/>
          <w:szCs w:val="44"/>
          <w14:textFill>
            <w14:solidFill>
              <w14:schemeClr w14:val="tx1"/>
            </w14:solidFill>
          </w14:textFill>
        </w:rPr>
        <w:t>报名表</w:t>
      </w:r>
    </w:p>
    <w:p>
      <w:pPr>
        <w:jc w:val="right"/>
        <w:rPr>
          <w:rFonts w:hint="eastAsia" w:ascii="宋体" w:hAnsi="宋体"/>
          <w:color w:val="000000" w:themeColor="text1"/>
          <w:szCs w:val="21"/>
          <w14:textFill>
            <w14:solidFill>
              <w14:schemeClr w14:val="tx1"/>
            </w14:solidFill>
          </w14:textFill>
        </w:rPr>
      </w:pPr>
    </w:p>
    <w:p>
      <w:pPr>
        <w:jc w:val="right"/>
        <w:rPr>
          <w:rFonts w:eastAsia="黑体"/>
          <w:b/>
          <w:bCs/>
          <w:color w:val="000000" w:themeColor="text1"/>
          <w:sz w:val="36"/>
          <w:szCs w:val="36"/>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报名序号（工作人员填</w:t>
      </w:r>
      <w:r>
        <w:rPr>
          <w:rFonts w:hint="eastAsia" w:ascii="楷体" w:hAnsi="楷体" w:eastAsia="楷体" w:cs="楷体"/>
          <w:color w:val="000000" w:themeColor="text1"/>
          <w:sz w:val="24"/>
          <w:szCs w:val="24"/>
          <w:lang w:val="en-US" w:eastAsia="zh-CN"/>
          <w14:textFill>
            <w14:solidFill>
              <w14:schemeClr w14:val="tx1"/>
            </w14:solidFill>
          </w14:textFill>
        </w:rPr>
        <w:t>写</w:t>
      </w:r>
      <w:r>
        <w:rPr>
          <w:rFonts w:hint="eastAsia" w:ascii="楷体" w:hAnsi="楷体" w:eastAsia="楷体" w:cs="楷体"/>
          <w:color w:val="000000" w:themeColor="text1"/>
          <w:sz w:val="24"/>
          <w:szCs w:val="24"/>
          <w14:textFill>
            <w14:solidFill>
              <w14:schemeClr w14:val="tx1"/>
            </w14:solidFill>
          </w14:textFill>
        </w:rPr>
        <w:t>）：</w:t>
      </w:r>
    </w:p>
    <w:tbl>
      <w:tblPr>
        <w:tblStyle w:val="6"/>
        <w:tblW w:w="101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45"/>
        <w:gridCol w:w="1136"/>
        <w:gridCol w:w="286"/>
        <w:gridCol w:w="702"/>
        <w:gridCol w:w="284"/>
        <w:gridCol w:w="285"/>
        <w:gridCol w:w="274"/>
        <w:gridCol w:w="10"/>
        <w:gridCol w:w="43"/>
        <w:gridCol w:w="247"/>
        <w:gridCol w:w="288"/>
        <w:gridCol w:w="285"/>
        <w:gridCol w:w="288"/>
        <w:gridCol w:w="285"/>
        <w:gridCol w:w="303"/>
        <w:gridCol w:w="106"/>
        <w:gridCol w:w="175"/>
        <w:gridCol w:w="281"/>
        <w:gridCol w:w="237"/>
        <w:gridCol w:w="242"/>
        <w:gridCol w:w="237"/>
        <w:gridCol w:w="274"/>
        <w:gridCol w:w="81"/>
        <w:gridCol w:w="203"/>
        <w:gridCol w:w="285"/>
        <w:gridCol w:w="285"/>
        <w:gridCol w:w="17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姓   名</w:t>
            </w:r>
          </w:p>
        </w:tc>
        <w:tc>
          <w:tcPr>
            <w:tcW w:w="14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702"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身份</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证号</w:t>
            </w:r>
          </w:p>
        </w:tc>
        <w:tc>
          <w:tcPr>
            <w:tcW w:w="284"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4"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90"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8"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8"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303"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1"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1"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3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42"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3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74"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4"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1702" w:type="dxa"/>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照</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片</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粘</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贴</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性   别</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出生年月</w:t>
            </w:r>
          </w:p>
        </w:tc>
        <w:tc>
          <w:tcPr>
            <w:tcW w:w="1446" w:type="dxa"/>
            <w:gridSpan w:val="7"/>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344" w:type="dxa"/>
            <w:gridSpan w:val="6"/>
            <w:tcBorders>
              <w:tl2br w:val="nil"/>
              <w:tr2bl w:val="nil"/>
            </w:tcBorders>
            <w:noWrap/>
            <w:vAlign w:val="center"/>
          </w:tcPr>
          <w:p>
            <w:pPr>
              <w:ind w:left="27"/>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政治面貌</w:t>
            </w:r>
          </w:p>
        </w:tc>
        <w:tc>
          <w:tcPr>
            <w:tcW w:w="1365" w:type="dxa"/>
            <w:gridSpan w:val="6"/>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民   族</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婚姻状况</w:t>
            </w:r>
          </w:p>
        </w:tc>
        <w:tc>
          <w:tcPr>
            <w:tcW w:w="1446" w:type="dxa"/>
            <w:gridSpan w:val="7"/>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344" w:type="dxa"/>
            <w:gridSpan w:val="6"/>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籍    贯</w:t>
            </w:r>
          </w:p>
        </w:tc>
        <w:tc>
          <w:tcPr>
            <w:tcW w:w="1365" w:type="dxa"/>
            <w:gridSpan w:val="6"/>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第一学历</w:t>
            </w:r>
          </w:p>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 位</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pStyle w:val="5"/>
              <w:pBdr>
                <w:bottom w:val="none" w:color="auto" w:sz="0" w:space="0"/>
              </w:pBdr>
              <w:tabs>
                <w:tab w:val="left" w:pos="420"/>
              </w:tabs>
              <w:snapToGrid/>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毕业院校及专 业</w:t>
            </w:r>
          </w:p>
        </w:tc>
        <w:tc>
          <w:tcPr>
            <w:tcW w:w="2790" w:type="dxa"/>
            <w:gridSpan w:val="13"/>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365" w:type="dxa"/>
            <w:gridSpan w:val="6"/>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报考岗位</w:t>
            </w:r>
          </w:p>
        </w:tc>
        <w:tc>
          <w:tcPr>
            <w:tcW w:w="1702" w:type="dxa"/>
            <w:vMerge w:val="restart"/>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最高学历</w:t>
            </w:r>
          </w:p>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 位</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毕业院校及专 业</w:t>
            </w:r>
          </w:p>
        </w:tc>
        <w:tc>
          <w:tcPr>
            <w:tcW w:w="2790" w:type="dxa"/>
            <w:gridSpan w:val="13"/>
            <w:tcBorders>
              <w:tl2br w:val="nil"/>
              <w:tr2bl w:val="nil"/>
            </w:tcBorders>
            <w:noWrap/>
            <w:vAlign w:val="center"/>
          </w:tcPr>
          <w:p>
            <w:pPr>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365" w:type="dxa"/>
            <w:gridSpan w:val="6"/>
            <w:vMerge w:val="continue"/>
            <w:tcBorders>
              <w:tl2br w:val="nil"/>
              <w:tr2bl w:val="nil"/>
            </w:tcBorders>
            <w:noWrap/>
            <w:vAlign w:val="center"/>
          </w:tcPr>
          <w:p>
            <w:pPr>
              <w:widowControl/>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专   业</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职   称</w:t>
            </w:r>
          </w:p>
        </w:tc>
        <w:tc>
          <w:tcPr>
            <w:tcW w:w="1422" w:type="dxa"/>
            <w:gridSpan w:val="2"/>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 xml:space="preserve"> 现工作单位</w:t>
            </w:r>
          </w:p>
        </w:tc>
        <w:tc>
          <w:tcPr>
            <w:tcW w:w="5857" w:type="dxa"/>
            <w:gridSpan w:val="20"/>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2"/>
                <w:szCs w:val="28"/>
                <w14:textFill>
                  <w14:solidFill>
                    <w14:schemeClr w14:val="tx1"/>
                  </w14:solidFill>
                </w14:textFill>
              </w:rPr>
              <w:t>户口所在地</w:t>
            </w:r>
          </w:p>
        </w:tc>
        <w:tc>
          <w:tcPr>
            <w:tcW w:w="4822" w:type="dxa"/>
            <w:gridSpan w:val="15"/>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527" w:type="dxa"/>
            <w:gridSpan w:val="7"/>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移动电话</w:t>
            </w: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22" w:type="dxa"/>
            <w:gridSpan w:val="2"/>
            <w:tcBorders>
              <w:tl2br w:val="nil"/>
              <w:tr2bl w:val="nil"/>
            </w:tcBorders>
            <w:noWrap/>
            <w:vAlign w:val="center"/>
          </w:tcPr>
          <w:p>
            <w:pPr>
              <w:widowControl/>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现 住 址</w:t>
            </w:r>
          </w:p>
        </w:tc>
        <w:tc>
          <w:tcPr>
            <w:tcW w:w="4822" w:type="dxa"/>
            <w:gridSpan w:val="15"/>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527" w:type="dxa"/>
            <w:gridSpan w:val="7"/>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邮箱（必填）</w:t>
            </w: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77" w:type="dxa"/>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个</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人</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习</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和</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工</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作</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简</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历</w:t>
            </w:r>
          </w:p>
        </w:tc>
        <w:tc>
          <w:tcPr>
            <w:tcW w:w="1681" w:type="dxa"/>
            <w:gridSpan w:val="2"/>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起年月</w:t>
            </w:r>
          </w:p>
        </w:tc>
        <w:tc>
          <w:tcPr>
            <w:tcW w:w="1884" w:type="dxa"/>
            <w:gridSpan w:val="7"/>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止年月</w:t>
            </w:r>
          </w:p>
        </w:tc>
        <w:tc>
          <w:tcPr>
            <w:tcW w:w="3329" w:type="dxa"/>
            <w:gridSpan w:val="14"/>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单位或学校名称</w:t>
            </w:r>
          </w:p>
        </w:tc>
        <w:tc>
          <w:tcPr>
            <w:tcW w:w="2475" w:type="dxa"/>
            <w:gridSpan w:val="4"/>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从</w:t>
            </w:r>
            <w:r>
              <w:rPr>
                <w:rFonts w:hint="eastAsia" w:ascii="仿宋" w:hAnsi="仿宋" w:eastAsia="仿宋" w:cs="仿宋"/>
                <w:bCs/>
                <w:color w:val="000000" w:themeColor="text1"/>
                <w:sz w:val="24"/>
                <w:szCs w:val="30"/>
                <w:lang w:eastAsia="zh-CN"/>
                <w14:textFill>
                  <w14:solidFill>
                    <w14:schemeClr w14:val="tx1"/>
                  </w14:solidFill>
                </w14:textFill>
              </w:rPr>
              <w:t>事任</w:t>
            </w:r>
            <w:r>
              <w:rPr>
                <w:rFonts w:hint="eastAsia" w:ascii="仿宋" w:hAnsi="仿宋" w:eastAsia="仿宋" w:cs="仿宋"/>
                <w:bCs/>
                <w:color w:val="000000" w:themeColor="text1"/>
                <w:sz w:val="24"/>
                <w:szCs w:val="30"/>
                <w14:textFill>
                  <w14:solidFill>
                    <w14:schemeClr w14:val="tx1"/>
                  </w14:solidFill>
                </w14:textFill>
              </w:rPr>
              <w:t>何工作及职务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奖惩情况</w:t>
            </w:r>
          </w:p>
        </w:tc>
        <w:tc>
          <w:tcPr>
            <w:tcW w:w="9369" w:type="dxa"/>
            <w:gridSpan w:val="2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熟悉专业特长</w:t>
            </w:r>
          </w:p>
        </w:tc>
        <w:tc>
          <w:tcPr>
            <w:tcW w:w="9369" w:type="dxa"/>
            <w:gridSpan w:val="27"/>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0146" w:type="dxa"/>
            <w:gridSpan w:val="28"/>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700" w:lineRule="exact"/>
              <w:ind w:left="0" w:hanging="1204" w:hangingChars="500"/>
              <w:textAlignment w:val="auto"/>
              <w:rPr>
                <w:rFonts w:eastAsia="仿宋_GB2312"/>
                <w:b/>
                <w:color w:val="000000" w:themeColor="text1"/>
                <w:sz w:val="24"/>
                <w:szCs w:val="32"/>
                <w14:textFill>
                  <w14:solidFill>
                    <w14:schemeClr w14:val="tx1"/>
                  </w14:solidFill>
                </w14:textFill>
              </w:rPr>
            </w:pPr>
            <w:r>
              <w:rPr>
                <w:rFonts w:hint="eastAsia" w:eastAsia="仿宋_GB2312"/>
                <w:b/>
                <w:color w:val="000000" w:themeColor="text1"/>
                <w:sz w:val="24"/>
                <w:szCs w:val="32"/>
                <w14:textFill>
                  <w14:solidFill>
                    <w14:schemeClr w14:val="tx1"/>
                  </w14:solidFill>
                </w14:textFill>
              </w:rPr>
              <w:t xml:space="preserve">本人声明：上述填写内容真实完整，服从用人单位的安排，如有不实，本人愿承担相关责任。报名人（本人签名）：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年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月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招聘</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单位</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审核</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意见</w:t>
            </w:r>
          </w:p>
        </w:tc>
        <w:tc>
          <w:tcPr>
            <w:tcW w:w="9369" w:type="dxa"/>
            <w:gridSpan w:val="27"/>
            <w:tcBorders>
              <w:tl2br w:val="nil"/>
              <w:tr2bl w:val="nil"/>
            </w:tcBorders>
            <w:noWrap/>
            <w:vAlign w:val="center"/>
          </w:tcPr>
          <w:p>
            <w:pPr>
              <w:spacing w:line="360" w:lineRule="exact"/>
              <w:rPr>
                <w:rFonts w:hint="eastAsia" w:ascii="仿宋" w:hAnsi="仿宋" w:eastAsia="仿宋" w:cs="仿宋"/>
                <w:bCs/>
                <w:color w:val="000000" w:themeColor="text1"/>
                <w:sz w:val="24"/>
                <w:szCs w:val="30"/>
                <w14:textFill>
                  <w14:solidFill>
                    <w14:schemeClr w14:val="tx1"/>
                  </w14:solidFill>
                </w14:textFill>
              </w:rPr>
            </w:pPr>
          </w:p>
          <w:p>
            <w:pPr>
              <w:spacing w:line="360" w:lineRule="exact"/>
              <w:ind w:firstLine="7080" w:firstLineChars="2950"/>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（盖章）</w:t>
            </w:r>
          </w:p>
          <w:p>
            <w:pPr>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 xml:space="preserve">                                                    年   月   日</w:t>
            </w:r>
          </w:p>
        </w:tc>
      </w:tr>
    </w:tbl>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ascii="方正小标宋简体" w:hAnsi="方正小标宋简体" w:eastAsia="方正小标宋简体" w:cs="方正小标宋简体"/>
          <w:spacing w:val="85"/>
          <w:sz w:val="44"/>
          <w:szCs w:val="44"/>
        </w:rPr>
      </w:pPr>
    </w:p>
    <w:p>
      <w:pPr>
        <w:jc w:val="center"/>
        <w:rPr>
          <w:rFonts w:ascii="方正小标宋简体" w:hAnsi="方正小标宋简体" w:eastAsia="方正小标宋简体" w:cs="方正小标宋简体"/>
          <w:spacing w:val="85"/>
          <w:sz w:val="44"/>
          <w:szCs w:val="44"/>
        </w:rPr>
      </w:pPr>
      <w:r>
        <w:rPr>
          <w:rFonts w:hint="eastAsia" w:ascii="方正小标宋简体" w:hAnsi="方正小标宋简体" w:eastAsia="方正小标宋简体" w:cs="方正小标宋简体"/>
          <w:spacing w:val="85"/>
          <w:sz w:val="44"/>
          <w:szCs w:val="44"/>
        </w:rPr>
        <w:t>工作经历证明</w:t>
      </w:r>
    </w:p>
    <w:p>
      <w:pPr>
        <w:spacing w:line="240" w:lineRule="exact"/>
        <w:jc w:val="center"/>
        <w:rPr>
          <w:rFonts w:ascii="方正小标宋简体" w:hAnsi="方正小标宋简体" w:eastAsia="方正小标宋简体" w:cs="方正小标宋简体"/>
          <w:spacing w:val="85"/>
          <w:sz w:val="44"/>
          <w:szCs w:val="44"/>
        </w:rPr>
      </w:pPr>
    </w:p>
    <w:p>
      <w:pPr>
        <w:widowControl/>
        <w:shd w:val="clear" w:color="auto" w:fill="FFFFFF"/>
        <w:ind w:firstLine="1120" w:firstLineChars="350"/>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同志（身份证号码：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日期间在我单位从事</w:t>
      </w:r>
      <w:r>
        <w:rPr>
          <w:rFonts w:hint="eastAsia" w:ascii="仿宋" w:hAnsi="仿宋" w:eastAsia="仿宋" w:cs="仿宋"/>
          <w:sz w:val="32"/>
          <w:szCs w:val="32"/>
          <w:u w:val="single"/>
        </w:rPr>
        <w:t xml:space="preserve">                    </w:t>
      </w:r>
      <w:r>
        <w:rPr>
          <w:rFonts w:hint="eastAsia" w:ascii="仿宋" w:hAnsi="仿宋" w:eastAsia="仿宋" w:cs="仿宋"/>
          <w:sz w:val="32"/>
          <w:szCs w:val="32"/>
        </w:rPr>
        <w:t>工作，我单位对本证明真实性负责。</w:t>
      </w:r>
    </w:p>
    <w:p>
      <w:pPr>
        <w:ind w:firstLine="555"/>
        <w:rPr>
          <w:rFonts w:hint="eastAsia" w:ascii="仿宋" w:hAnsi="仿宋" w:eastAsia="仿宋" w:cs="仿宋"/>
          <w:sz w:val="32"/>
          <w:szCs w:val="32"/>
        </w:rPr>
      </w:pPr>
      <w:r>
        <w:rPr>
          <w:rFonts w:hint="eastAsia" w:ascii="仿宋" w:hAnsi="仿宋" w:eastAsia="仿宋" w:cs="仿宋"/>
          <w:sz w:val="32"/>
          <w:szCs w:val="32"/>
        </w:rPr>
        <w:t>特此证明。</w:t>
      </w:r>
    </w:p>
    <w:p>
      <w:pPr>
        <w:ind w:firstLine="555"/>
        <w:rPr>
          <w:rFonts w:hint="eastAsia" w:ascii="仿宋" w:hAnsi="仿宋" w:eastAsia="仿宋" w:cs="仿宋"/>
          <w:sz w:val="32"/>
          <w:szCs w:val="32"/>
        </w:rPr>
      </w:pPr>
    </w:p>
    <w:p>
      <w:pPr>
        <w:ind w:firstLine="555"/>
        <w:jc w:val="center"/>
        <w:rPr>
          <w:rFonts w:hint="eastAsia" w:ascii="仿宋" w:hAnsi="仿宋" w:eastAsia="仿宋" w:cs="仿宋"/>
          <w:sz w:val="32"/>
          <w:szCs w:val="32"/>
        </w:rPr>
      </w:pPr>
    </w:p>
    <w:p>
      <w:pPr>
        <w:ind w:firstLine="555"/>
        <w:jc w:val="center"/>
        <w:rPr>
          <w:rFonts w:hint="eastAsia" w:ascii="仿宋" w:hAnsi="仿宋" w:eastAsia="仿宋" w:cs="仿宋"/>
          <w:sz w:val="32"/>
          <w:szCs w:val="32"/>
        </w:rPr>
      </w:pPr>
      <w:r>
        <w:rPr>
          <w:rFonts w:hint="eastAsia" w:ascii="仿宋" w:hAnsi="仿宋" w:eastAsia="仿宋" w:cs="仿宋"/>
          <w:sz w:val="32"/>
          <w:szCs w:val="32"/>
        </w:rPr>
        <w:t xml:space="preserve">                       （单位盖章）                                       </w:t>
      </w:r>
    </w:p>
    <w:p>
      <w:pPr>
        <w:ind w:firstLine="640" w:firstLineChars="200"/>
        <w:jc w:val="left"/>
        <w:rPr>
          <w:rFonts w:hint="eastAsia" w:ascii="仿宋" w:hAnsi="仿宋" w:eastAsia="仿宋" w:cs="仿宋"/>
          <w:sz w:val="32"/>
          <w:szCs w:val="32"/>
        </w:rPr>
      </w:pPr>
    </w:p>
    <w:p>
      <w:pPr>
        <w:ind w:firstLine="5760" w:firstLineChars="1800"/>
        <w:jc w:val="left"/>
        <w:rPr>
          <w:rFonts w:hint="eastAsia" w:ascii="仿宋" w:hAnsi="仿宋" w:eastAsia="仿宋" w:cs="仿宋"/>
          <w:sz w:val="32"/>
          <w:szCs w:val="32"/>
        </w:rPr>
      </w:pPr>
      <w:r>
        <w:rPr>
          <w:rFonts w:hint="eastAsia" w:ascii="仿宋" w:hAnsi="仿宋" w:eastAsia="仿宋" w:cs="仿宋"/>
          <w:sz w:val="32"/>
          <w:szCs w:val="32"/>
        </w:rPr>
        <w:t>年    月    日</w:t>
      </w:r>
    </w:p>
    <w:p>
      <w:pPr>
        <w:jc w:val="left"/>
        <w:rPr>
          <w:sz w:val="32"/>
          <w:szCs w:val="32"/>
        </w:rPr>
      </w:pPr>
    </w:p>
    <w:p>
      <w:pPr>
        <w:jc w:val="left"/>
        <w:rPr>
          <w:sz w:val="32"/>
          <w:szCs w:val="32"/>
        </w:rPr>
      </w:pPr>
    </w:p>
    <w:p>
      <w:pPr>
        <w:jc w:val="left"/>
        <w:rPr>
          <w:sz w:val="32"/>
          <w:szCs w:val="32"/>
        </w:rPr>
      </w:pPr>
    </w:p>
    <w:p>
      <w:pPr>
        <w:jc w:val="left"/>
        <w:rPr>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rPr>
          <w:rFonts w:hint="eastAsia" w:ascii="黑体" w:hAnsi="黑体" w:eastAsia="黑体" w:cs="黑体"/>
          <w:sz w:val="32"/>
          <w:szCs w:val="32"/>
        </w:rPr>
      </w:pPr>
      <w:bookmarkStart w:id="3"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报名材料命名及整理顺序</w:t>
      </w:r>
    </w:p>
    <w:p>
      <w:pPr>
        <w:jc w:val="left"/>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1.报名表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本人</w:t>
      </w:r>
      <w:r>
        <w:rPr>
          <w:rFonts w:hint="eastAsia" w:ascii="仿宋" w:hAnsi="仿宋" w:eastAsia="仿宋" w:cs="仿宋"/>
          <w:sz w:val="32"/>
          <w:szCs w:val="32"/>
        </w:rPr>
        <w:t>身份证</w:t>
      </w:r>
      <w:r>
        <w:rPr>
          <w:rFonts w:hint="eastAsia" w:ascii="仿宋" w:hAnsi="仿宋" w:eastAsia="仿宋" w:cs="仿宋"/>
          <w:sz w:val="32"/>
          <w:szCs w:val="32"/>
          <w:lang w:eastAsia="zh-CN"/>
        </w:rPr>
        <w:t>、</w:t>
      </w:r>
      <w:r>
        <w:rPr>
          <w:rFonts w:hint="eastAsia" w:ascii="仿宋" w:hAnsi="仿宋" w:eastAsia="仿宋" w:cs="仿宋"/>
          <w:sz w:val="32"/>
          <w:szCs w:val="32"/>
        </w:rPr>
        <w:t>户口本</w:t>
      </w:r>
      <w:r>
        <w:rPr>
          <w:rFonts w:hint="eastAsia" w:ascii="仿宋" w:hAnsi="仿宋" w:eastAsia="仿宋" w:cs="仿宋"/>
          <w:sz w:val="32"/>
          <w:szCs w:val="32"/>
          <w:lang w:eastAsia="zh-CN"/>
        </w:rPr>
        <w:t>（</w:t>
      </w:r>
      <w:r>
        <w:rPr>
          <w:rFonts w:hint="eastAsia" w:ascii="仿宋" w:hAnsi="仿宋" w:eastAsia="仿宋" w:cs="仿宋"/>
          <w:sz w:val="32"/>
          <w:szCs w:val="32"/>
        </w:rPr>
        <w:t>户主页、本人页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学历证书、学位证书、学信网学历证书电子注册备案表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.执（职）业资格证书（如计划表中未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.专业技术资格证书（如计划表中未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工作经历证明；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.社保基本养老历年参保证明（应届毕业生无需提供）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8.电子版</w:t>
      </w:r>
      <w:r>
        <w:rPr>
          <w:rFonts w:hint="eastAsia" w:ascii="仿宋" w:hAnsi="仿宋" w:eastAsia="仿宋" w:cs="仿宋"/>
          <w:sz w:val="32"/>
          <w:szCs w:val="32"/>
        </w:rPr>
        <w:t>照片（近期蓝底彩色免冠）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其他材料</w:t>
      </w:r>
      <w:r>
        <w:rPr>
          <w:rFonts w:hint="eastAsia" w:ascii="仿宋" w:hAnsi="仿宋" w:eastAsia="仿宋" w:cs="仿宋"/>
          <w:sz w:val="32"/>
          <w:szCs w:val="32"/>
          <w:lang w:val="en-US" w:eastAsia="zh-CN"/>
        </w:rPr>
        <w:t>和</w:t>
      </w:r>
      <w:r>
        <w:rPr>
          <w:rFonts w:hint="eastAsia" w:ascii="仿宋" w:hAnsi="仿宋" w:eastAsia="仿宋" w:cs="仿宋"/>
          <w:sz w:val="32"/>
          <w:szCs w:val="32"/>
        </w:rPr>
        <w:t>证明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如获奖证书等，</w:t>
      </w:r>
      <w:r>
        <w:rPr>
          <w:rFonts w:hint="eastAsia" w:ascii="仿宋" w:hAnsi="仿宋" w:eastAsia="仿宋" w:cs="仿宋"/>
          <w:sz w:val="32"/>
          <w:szCs w:val="32"/>
        </w:rPr>
        <w:t>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10.教育部中国留学服务中心出具的境外学历、学位认证书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非留学人员无需提供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报考人员须将报名材料打包发送提交，压缩文件以“</w:t>
      </w:r>
      <w:r>
        <w:rPr>
          <w:rFonts w:hint="eastAsia" w:ascii="仿宋" w:hAnsi="仿宋" w:eastAsia="仿宋" w:cs="仿宋"/>
          <w:sz w:val="32"/>
          <w:szCs w:val="32"/>
          <w:lang w:val="en-US" w:eastAsia="zh-CN"/>
        </w:rPr>
        <w:t>报考</w:t>
      </w:r>
      <w:r>
        <w:rPr>
          <w:rFonts w:hint="eastAsia" w:ascii="仿宋" w:hAnsi="仿宋" w:eastAsia="仿宋" w:cs="仿宋"/>
          <w:sz w:val="32"/>
          <w:szCs w:val="32"/>
        </w:rPr>
        <w:t>岗位</w:t>
      </w:r>
      <w:r>
        <w:rPr>
          <w:rFonts w:hint="eastAsia" w:ascii="仿宋" w:hAnsi="仿宋" w:eastAsia="仿宋" w:cs="仿宋"/>
          <w:sz w:val="32"/>
          <w:szCs w:val="32"/>
          <w:lang w:eastAsia="zh-CN"/>
        </w:rPr>
        <w:t>－</w:t>
      </w:r>
      <w:r>
        <w:rPr>
          <w:rFonts w:hint="eastAsia" w:ascii="仿宋" w:hAnsi="仿宋" w:eastAsia="仿宋" w:cs="仿宋"/>
          <w:sz w:val="32"/>
          <w:szCs w:val="32"/>
        </w:rPr>
        <w:t>姓名</w:t>
      </w:r>
      <w:r>
        <w:rPr>
          <w:rFonts w:hint="eastAsia" w:ascii="仿宋" w:hAnsi="仿宋" w:eastAsia="仿宋" w:cs="仿宋"/>
          <w:sz w:val="32"/>
          <w:szCs w:val="32"/>
          <w:lang w:eastAsia="zh-CN"/>
        </w:rPr>
        <w:t>－</w:t>
      </w:r>
      <w:r>
        <w:rPr>
          <w:rFonts w:hint="eastAsia" w:ascii="仿宋" w:hAnsi="仿宋" w:eastAsia="仿宋" w:cs="仿宋"/>
          <w:sz w:val="32"/>
          <w:szCs w:val="32"/>
        </w:rPr>
        <w:t>联系电话”格式命名，必须确保资料内容清晰，要素完整</w:t>
      </w:r>
      <w:r>
        <w:rPr>
          <w:rFonts w:hint="eastAsia" w:ascii="仿宋" w:hAnsi="仿宋" w:eastAsia="仿宋" w:cs="仿宋"/>
          <w:sz w:val="32"/>
          <w:szCs w:val="32"/>
          <w:lang w:eastAsia="zh-CN"/>
        </w:rPr>
        <w:t>。</w:t>
      </w:r>
      <w:r>
        <w:rPr>
          <w:rFonts w:hint="eastAsia" w:ascii="仿宋" w:hAnsi="仿宋" w:eastAsia="仿宋" w:cs="仿宋"/>
          <w:sz w:val="32"/>
          <w:szCs w:val="32"/>
        </w:rPr>
        <w:t>文档资料采用.doc格式，图片资料为彩色扫描，采用.jpg格式。</w:t>
      </w:r>
    </w:p>
    <w:p>
      <w:pPr>
        <w:jc w:val="left"/>
        <w:rPr>
          <w:sz w:val="32"/>
          <w:szCs w:val="32"/>
        </w:rPr>
      </w:pPr>
    </w:p>
    <w:bookmarkEnd w:id="3"/>
    <w:p>
      <w:pPr>
        <w:keepNext w:val="0"/>
        <w:keepLines w:val="0"/>
        <w:widowControl/>
        <w:suppressLineNumbers w:val="0"/>
        <w:jc w:val="both"/>
        <w:rPr>
          <w:rFonts w:hint="default" w:ascii="仿宋_GB2312" w:hAnsi="宋体" w:eastAsia="仿宋_GB2312" w:cs="仿宋_GB2312"/>
          <w:color w:val="000000"/>
          <w:kern w:val="0"/>
          <w:sz w:val="31"/>
          <w:szCs w:val="31"/>
          <w:lang w:val="en-US" w:eastAsia="zh-CN" w:bidi="ar"/>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68D57"/>
    <w:multiLevelType w:val="singleLevel"/>
    <w:tmpl w:val="92568D57"/>
    <w:lvl w:ilvl="0" w:tentative="0">
      <w:start w:val="1"/>
      <w:numFmt w:val="chineseCounting"/>
      <w:suff w:val="nothing"/>
      <w:lvlText w:val="%1、"/>
      <w:lvlJc w:val="left"/>
      <w:rPr>
        <w:rFonts w:hint="eastAsia"/>
      </w:rPr>
    </w:lvl>
  </w:abstractNum>
  <w:abstractNum w:abstractNumId="1">
    <w:nsid w:val="2FAE1DF1"/>
    <w:multiLevelType w:val="singleLevel"/>
    <w:tmpl w:val="2FAE1DF1"/>
    <w:lvl w:ilvl="0" w:tentative="0">
      <w:start w:val="1"/>
      <w:numFmt w:val="decimal"/>
      <w:lvlText w:val="%1."/>
      <w:lvlJc w:val="left"/>
      <w:pPr>
        <w:tabs>
          <w:tab w:val="left" w:pos="312"/>
        </w:tabs>
      </w:pPr>
    </w:lvl>
  </w:abstractNum>
  <w:abstractNum w:abstractNumId="2">
    <w:nsid w:val="30AA2B59"/>
    <w:multiLevelType w:val="singleLevel"/>
    <w:tmpl w:val="30AA2B59"/>
    <w:lvl w:ilvl="0" w:tentative="0">
      <w:start w:val="1"/>
      <w:numFmt w:val="decimal"/>
      <w:lvlText w:val="%1."/>
      <w:lvlJc w:val="left"/>
      <w:pPr>
        <w:tabs>
          <w:tab w:val="left" w:pos="312"/>
        </w:tabs>
      </w:pPr>
    </w:lvl>
  </w:abstractNum>
  <w:abstractNum w:abstractNumId="3">
    <w:nsid w:val="67527547"/>
    <w:multiLevelType w:val="singleLevel"/>
    <w:tmpl w:val="67527547"/>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TFlM2EwMGFkNDcwZmJjODIzMGI1ZWJmODcyODQifQ=="/>
  </w:docVars>
  <w:rsids>
    <w:rsidRoot w:val="1FB11428"/>
    <w:rsid w:val="1FB11428"/>
    <w:rsid w:val="7F5EF9D0"/>
    <w:rsid w:val="ABC74290"/>
    <w:rsid w:val="F4EAF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8</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2025-08-26T10:20:00Z</dcterms:created>
  <dc:creator>芬芳琦瑶</dc:creator>
  <cp:lastModifiedBy>greatwall</cp:lastModifiedBy>
  <dcterms:modified xsi:type="dcterms:W3CDTF">2025-08-26T14:47:05Z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75198486F70B4F5B8638102396B7ED82_11</vt:lpwstr>
  </property>
</Properties>
</file>